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127000</wp:posOffset>
                </wp:positionV>
                <wp:extent cx="2765425" cy="22701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974400" y="2656050"/>
                          <a:ext cx="27432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2225">
                          <a:solidFill>
                            <a:srgbClr val="3F315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403152"/>
                                <w:sz w:val="28"/>
                                <w:vertAlign w:val="baseline"/>
                              </w:rPr>
                              <w:t xml:space="preserve">Monitoring &amp; Reporting Standards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403152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Teachers enter termly assessment scores onto Sims trackers.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subject leader monitors recorded work, talks to pupils and samples lessons as well as scrutinising data to support development within the subject area.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headteacher holds termly pupil progress meetings, during which reading is discussed.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0000" lIns="91425" spcFirstLastPara="1" rIns="91425" wrap="square" tIns="9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127000</wp:posOffset>
                </wp:positionV>
                <wp:extent cx="2765425" cy="2270125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5425" cy="227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3337560" cy="1068019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688333" y="3253903"/>
                          <a:ext cx="331533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2225">
                          <a:solidFill>
                            <a:srgbClr val="3F315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403152"/>
                                <w:sz w:val="28"/>
                                <w:vertAlign w:val="baseline"/>
                              </w:rPr>
                              <w:t xml:space="preserve">Leadership Personnel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403152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403152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Subject Leader Jane Charlton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0000" lIns="91425" spcFirstLastPara="1" rIns="91425" wrap="square" tIns="9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3337560" cy="1068019"/>
                <wp:effectExtent b="0" l="0" r="0" t="0"/>
                <wp:wrapNone/>
                <wp:docPr id="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7560" cy="10680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6426200</wp:posOffset>
                </wp:positionH>
                <wp:positionV relativeFrom="paragraph">
                  <wp:posOffset>127000</wp:posOffset>
                </wp:positionV>
                <wp:extent cx="3337560" cy="3061019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688333" y="2345853"/>
                          <a:ext cx="3315335" cy="286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2225">
                          <a:solidFill>
                            <a:srgbClr val="3F315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403152"/>
                                <w:sz w:val="28"/>
                                <w:vertAlign w:val="baseline"/>
                              </w:rPr>
                              <w:t xml:space="preserve">Curriculum Design &amp; Organisation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403152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Our ultimate aim is for our children to become proficient readers who read for pleasure and to further their knowledge and vocabulary.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teach phonics daily in years R and 1 and spelling patterns in year 2 to support decoding skills. Children read twice per week within guided reading groups in years R and 1, with a focus on phonics</w:t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During year 2, the focus shifts toward whole class comprehension work on the reading domains for the majority of children, whilst some still work on decoding through guided group work.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Children are read to daily in order to develop vocabulary and oral comprehension.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90000" lIns="91425" spcFirstLastPara="1" rIns="91425" wrap="square" tIns="9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6426200</wp:posOffset>
                </wp:positionH>
                <wp:positionV relativeFrom="paragraph">
                  <wp:posOffset>127000</wp:posOffset>
                </wp:positionV>
                <wp:extent cx="3337560" cy="3061019"/>
                <wp:effectExtent b="0" l="0" r="0" t="0"/>
                <wp:wrapNone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7560" cy="30610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3329940" cy="353030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92150" y="2088050"/>
                          <a:ext cx="3307800" cy="350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2225">
                          <a:solidFill>
                            <a:srgbClr val="3F315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403152"/>
                                <w:sz w:val="28"/>
                                <w:vertAlign w:val="baseline"/>
                              </w:rPr>
                              <w:t xml:space="preserve">Assessment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403152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Summative: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EYFS – teacher assessments are made termly, informed by</w:t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ability</w:t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to read PGCs and words from the Floppy Phonics tracker, plus the ability to use phonics skills to access the phonic reading books.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Y1 – Teacher assessments made informed by half termly phonics screening tests</w:t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, Floppy Phonics trackers and children’s ability to read the appropriate phonic readers.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Year 2 – </w:t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NFER tests,</w:t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past SAT papers and phonics/HFW trackers</w:t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are used.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Pupils are assessed against their current end of year group objectives and judged to be </w:t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WT, EXP or GD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Formative: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Continual assessment during group/whole class reading –notes made on planning grids/individual pupil objective trackers.</w:t>
                            </w:r>
                          </w:p>
                        </w:txbxContent>
                      </wps:txbx>
                      <wps:bodyPr anchorCtr="0" anchor="t" bIns="90000" lIns="91425" spcFirstLastPara="1" rIns="91425" wrap="square" tIns="9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3329940" cy="3530309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9940" cy="35303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114300</wp:posOffset>
                </wp:positionV>
                <wp:extent cx="2743200" cy="1908175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4400" y="2825913"/>
                          <a:ext cx="2743200" cy="1908175"/>
                          <a:chOff x="3974400" y="2825913"/>
                          <a:chExt cx="2743200" cy="1908175"/>
                        </a:xfrm>
                      </wpg:grpSpPr>
                      <wpg:grpSp>
                        <wpg:cNvGrpSpPr/>
                        <wpg:grpSpPr>
                          <a:xfrm>
                            <a:off x="3974400" y="2825913"/>
                            <a:ext cx="2743200" cy="1908175"/>
                            <a:chOff x="0" y="0"/>
                            <a:chExt cx="2743200" cy="18288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7432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743200" cy="18288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8064A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lay" w:cs="Play" w:eastAsia="Play" w:hAnsi="Play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2"/>
                                    <w:vertAlign w:val="baseline"/>
                                  </w:rPr>
                                  <w:t xml:space="preserve">Key Stage 1 Reading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lay" w:cs="Play" w:eastAsia="Play" w:hAnsi="Play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75313" y="648269"/>
                              <a:ext cx="2005795" cy="1079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lay" w:cs="Play" w:eastAsia="Play" w:hAnsi="Play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114300</wp:posOffset>
                </wp:positionV>
                <wp:extent cx="2743200" cy="1908175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190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6502400</wp:posOffset>
                </wp:positionH>
                <wp:positionV relativeFrom="paragraph">
                  <wp:posOffset>63500</wp:posOffset>
                </wp:positionV>
                <wp:extent cx="3161030" cy="2208913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776598" y="2685578"/>
                          <a:ext cx="3138805" cy="218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2225">
                          <a:solidFill>
                            <a:srgbClr val="3F315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403152"/>
                                <w:sz w:val="28"/>
                                <w:vertAlign w:val="baseline"/>
                              </w:rPr>
                              <w:t xml:space="preserve">Resources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403152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Phonics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We use the Oxford Reading Tree Floppy Phonics Scheme.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Reading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Our phonics reading books match the PGCs that the children are learning in reception and year one. Other core readers are also used to teach some high frequency exception words.</w:t>
                            </w:r>
                          </w:p>
                        </w:txbxContent>
                      </wps:txbx>
                      <wps:bodyPr anchorCtr="0" anchor="t" bIns="90000" lIns="91425" spcFirstLastPara="1" rIns="91425" wrap="square" tIns="9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6502400</wp:posOffset>
                </wp:positionH>
                <wp:positionV relativeFrom="paragraph">
                  <wp:posOffset>63500</wp:posOffset>
                </wp:positionV>
                <wp:extent cx="3161030" cy="2208913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1030" cy="22089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273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1460500</wp:posOffset>
                </wp:positionV>
                <wp:extent cx="3274695" cy="142748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719765" y="3077373"/>
                          <a:ext cx="325247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2225">
                          <a:solidFill>
                            <a:srgbClr val="3F315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Parental engagement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Each child has a reading diary to enable communication between parents and teachers.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Reading attainment is reported to parents via written reports.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Workshops are provided for parents in YR and Y1 to explain approaches to reading.</w:t>
                            </w:r>
                          </w:p>
                        </w:txbxContent>
                      </wps:txbx>
                      <wps:bodyPr anchorCtr="0" anchor="t" bIns="90000" lIns="91425" spcFirstLastPara="1" rIns="91425" wrap="square" tIns="9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1460500</wp:posOffset>
                </wp:positionV>
                <wp:extent cx="3274695" cy="1427480"/>
                <wp:effectExtent b="0" l="0" r="0" t="0"/>
                <wp:wrapNone/>
                <wp:docPr id="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4695" cy="1427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6502400</wp:posOffset>
                </wp:positionH>
                <wp:positionV relativeFrom="paragraph">
                  <wp:posOffset>1981200</wp:posOffset>
                </wp:positionV>
                <wp:extent cx="3267075" cy="7810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723575" y="3399000"/>
                          <a:ext cx="3244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2225">
                          <a:solidFill>
                            <a:srgbClr val="3F315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403152"/>
                                <w:sz w:val="28"/>
                                <w:vertAlign w:val="baseline"/>
                              </w:rPr>
                              <w:t xml:space="preserve">Planning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403152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Guided reading is planned for using a standard proforma</w:t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, as is whole class comprehension.</w:t>
                            </w:r>
                          </w:p>
                        </w:txbxContent>
                      </wps:txbx>
                      <wps:bodyPr anchorCtr="0" anchor="t" bIns="90000" lIns="91425" spcFirstLastPara="1" rIns="91425" wrap="square" tIns="9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6502400</wp:posOffset>
                </wp:positionH>
                <wp:positionV relativeFrom="paragraph">
                  <wp:posOffset>1981200</wp:posOffset>
                </wp:positionV>
                <wp:extent cx="3267075" cy="781050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7075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1028700</wp:posOffset>
                </wp:positionV>
                <wp:extent cx="2771775" cy="1624834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974400" y="2978630"/>
                          <a:ext cx="2743200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80808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Teaching Approaches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Guided groups for work on fluency.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Whole class comprehension work in year 2 as children become fluent decoders.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VIPERS symbols </w:t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are introduced</w:t>
                            </w:r>
                            <w:r w:rsidDel="00000000" w:rsidR="00000000" w:rsidRPr="00000000">
                              <w:rPr>
                                <w:rFonts w:ascii="Play" w:cs="Play" w:eastAsia="Play" w:hAnsi="Pla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  <w:t xml:space="preserve"> to support children’s understanding of the reading domains.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1028700</wp:posOffset>
                </wp:positionV>
                <wp:extent cx="2771775" cy="1624834"/>
                <wp:effectExtent b="0" l="0" r="0" t="0"/>
                <wp:wrapNone/>
                <wp:docPr id="2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16248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6" w:type="default"/>
      <w:pgSz w:h="11906" w:w="16838" w:orient="landscape"/>
      <w:pgMar w:bottom="720" w:top="720" w:left="720" w:right="720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Play" w:cs="Play" w:eastAsia="Play" w:hAnsi="Play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Play" w:cs="Play" w:eastAsia="Play" w:hAnsi="Play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Subject Organisation at a glance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lay" w:cs="Play" w:eastAsia="Play" w:hAnsi="Play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color w:val="40315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ind w:left="284"/>
    </w:pPr>
    <w:rPr>
      <w:color w:val="403152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6B5E"/>
    <w:rPr>
      <w:rFonts w:ascii="BPreplay" w:hAnsi="BPreplay"/>
      <w:sz w:val="22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0D2C3C"/>
    <w:pPr>
      <w:keepNext w:val="1"/>
      <w:keepLines w:val="1"/>
      <w:outlineLvl w:val="0"/>
    </w:pPr>
    <w:rPr>
      <w:color w:val="403152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 w:val="1"/>
    <w:qFormat w:val="1"/>
    <w:rsid w:val="00B76B5E"/>
    <w:pPr>
      <w:ind w:left="284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 w:val="1"/>
    <w:qFormat w:val="1"/>
    <w:rsid w:val="00B76B5E"/>
    <w:pPr>
      <w:keepNext w:val="1"/>
      <w:keepLines w:val="1"/>
      <w:spacing w:before="40"/>
      <w:outlineLvl w:val="2"/>
    </w:pPr>
    <w:rPr>
      <w:rFonts w:ascii="Calibri Light" w:hAnsi="Calibri Light"/>
      <w:color w:val="243f60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F0DB7"/>
    <w:pPr>
      <w:numPr>
        <w:numId w:val="13"/>
      </w:numPr>
      <w:ind w:left="284" w:hanging="284"/>
      <w:contextualSpacing w:val="1"/>
    </w:pPr>
    <w:rPr>
      <w:sz w:val="19"/>
    </w:rPr>
  </w:style>
  <w:style w:type="character" w:styleId="Heading1Char" w:customStyle="1">
    <w:name w:val="Heading 1 Char"/>
    <w:link w:val="Heading1"/>
    <w:rsid w:val="000D2C3C"/>
    <w:rPr>
      <w:rFonts w:ascii="BPreplay" w:cs="Times New Roman" w:eastAsia="Times New Roman" w:hAnsi="BPreplay"/>
      <w:color w:val="403152"/>
      <w:sz w:val="32"/>
      <w:szCs w:val="32"/>
    </w:rPr>
  </w:style>
  <w:style w:type="character" w:styleId="Heading2Char" w:customStyle="1">
    <w:name w:val="Heading 2 Char"/>
    <w:link w:val="Heading2"/>
    <w:rsid w:val="00B76B5E"/>
    <w:rPr>
      <w:rFonts w:ascii="BPreplay" w:cs="Times New Roman" w:eastAsia="Times New Roman" w:hAnsi="BPreplay"/>
      <w:color w:val="403152"/>
      <w:sz w:val="28"/>
      <w:szCs w:val="32"/>
    </w:rPr>
  </w:style>
  <w:style w:type="character" w:styleId="Heading3Char" w:customStyle="1">
    <w:name w:val="Heading 3 Char"/>
    <w:link w:val="Heading3"/>
    <w:rsid w:val="00B76B5E"/>
    <w:rPr>
      <w:rFonts w:ascii="Calibri Light" w:cs="Times New Roman" w:eastAsia="Times New Roman" w:hAnsi="Calibri Light"/>
      <w:color w:val="243f60"/>
      <w:sz w:val="24"/>
      <w:szCs w:val="24"/>
    </w:rPr>
  </w:style>
  <w:style w:type="paragraph" w:styleId="Header">
    <w:name w:val="header"/>
    <w:basedOn w:val="Normal"/>
    <w:link w:val="HeaderChar"/>
    <w:rsid w:val="0049586F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49586F"/>
    <w:rPr>
      <w:rFonts w:ascii="BPreplay" w:hAnsi="BPreplay"/>
      <w:sz w:val="22"/>
      <w:szCs w:val="24"/>
    </w:rPr>
  </w:style>
  <w:style w:type="paragraph" w:styleId="Footer">
    <w:name w:val="footer"/>
    <w:basedOn w:val="Normal"/>
    <w:link w:val="FooterChar"/>
    <w:rsid w:val="0049586F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49586F"/>
    <w:rPr>
      <w:rFonts w:ascii="BPreplay" w:hAnsi="BPreplay"/>
      <w:sz w:val="22"/>
      <w:szCs w:val="24"/>
    </w:rPr>
  </w:style>
  <w:style w:type="paragraph" w:styleId="BalloonText">
    <w:name w:val="Balloon Text"/>
    <w:basedOn w:val="Normal"/>
    <w:link w:val="BalloonTextChar"/>
    <w:rsid w:val="00CD138D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CD138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9.png"/><Relationship Id="rId14" Type="http://schemas.openxmlformats.org/officeDocument/2006/relationships/image" Target="media/image4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V9FO8ZKIc0O121LUMIYxkJ1r2A==">AMUW2mX5Y28tMZmzkKrmXiLy0MyxeRM5oIN1iqm1UwMBGxhYaLpniidCqQS6MzWl5n/6fCqPODbbYsZnzISclHpjZPX4Gs1QK66rzzf+xKHfQvRnviYweQF8xrkFBzlAE8Z73cNLQmI3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2020-05-19T13:31:00Z</dcterms:created>
  <dc:creator>A Staples</dc:creator>
</cp:coreProperties>
</file>